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6201C1AD" w14:textId="6786299B" w:rsidR="00037360" w:rsidRPr="006B0055" w:rsidRDefault="005A6970" w:rsidP="006B0055">
      <w:pPr>
        <w:pStyle w:val="af9"/>
        <w:spacing w:line="240" w:lineRule="auto"/>
        <w:rPr>
          <w:b/>
          <w:bCs/>
          <w:sz w:val="22"/>
          <w:szCs w:val="22"/>
          <w:rtl/>
        </w:rPr>
      </w:pPr>
      <w:r w:rsidRPr="006B0055">
        <w:rPr>
          <w:rFonts w:hint="cs"/>
          <w:b/>
          <w:bCs/>
          <w:sz w:val="22"/>
          <w:szCs w:val="22"/>
          <w:u w:val="single"/>
          <w:rtl/>
        </w:rPr>
        <w:t xml:space="preserve">מכרז פומבי מס' </w:t>
      </w:r>
      <w:r w:rsidR="00037360" w:rsidRPr="006B0055">
        <w:rPr>
          <w:rFonts w:hint="cs"/>
          <w:b/>
          <w:bCs/>
          <w:sz w:val="22"/>
          <w:szCs w:val="22"/>
          <w:u w:val="single"/>
          <w:rtl/>
        </w:rPr>
        <w:t xml:space="preserve">2/15 </w:t>
      </w:r>
      <w:r w:rsidR="00037360" w:rsidRPr="006B0055">
        <w:rPr>
          <w:rFonts w:hint="eastAsia"/>
          <w:b/>
          <w:bCs/>
          <w:sz w:val="22"/>
          <w:szCs w:val="22"/>
          <w:u w:val="single"/>
          <w:rtl/>
        </w:rPr>
        <w:t>להגשת</w:t>
      </w:r>
      <w:r w:rsidR="00037360" w:rsidRPr="006B0055">
        <w:rPr>
          <w:b/>
          <w:bCs/>
          <w:sz w:val="22"/>
          <w:szCs w:val="22"/>
          <w:u w:val="single"/>
          <w:rtl/>
        </w:rPr>
        <w:t xml:space="preserve"> </w:t>
      </w:r>
      <w:r w:rsidR="00037360" w:rsidRPr="006B0055">
        <w:rPr>
          <w:rFonts w:hint="eastAsia"/>
          <w:b/>
          <w:bCs/>
          <w:sz w:val="22"/>
          <w:szCs w:val="22"/>
          <w:u w:val="single"/>
          <w:rtl/>
        </w:rPr>
        <w:t>הצעות</w:t>
      </w:r>
      <w:r w:rsidR="00037360" w:rsidRPr="006B0055">
        <w:rPr>
          <w:b/>
          <w:bCs/>
          <w:sz w:val="22"/>
          <w:szCs w:val="22"/>
          <w:u w:val="single"/>
          <w:rtl/>
        </w:rPr>
        <w:t xml:space="preserve"> </w:t>
      </w:r>
      <w:r w:rsidR="00037360" w:rsidRPr="006B0055">
        <w:rPr>
          <w:rFonts w:hint="eastAsia"/>
          <w:b/>
          <w:bCs/>
          <w:sz w:val="22"/>
          <w:szCs w:val="22"/>
          <w:u w:val="single"/>
          <w:rtl/>
        </w:rPr>
        <w:t>להשקעת</w:t>
      </w:r>
      <w:r w:rsidR="00037360" w:rsidRPr="006B0055">
        <w:rPr>
          <w:b/>
          <w:bCs/>
          <w:sz w:val="22"/>
          <w:szCs w:val="22"/>
          <w:u w:val="single"/>
          <w:rtl/>
        </w:rPr>
        <w:t xml:space="preserve"> </w:t>
      </w:r>
      <w:r w:rsidR="00037360" w:rsidRPr="006B0055">
        <w:rPr>
          <w:rFonts w:hint="eastAsia"/>
          <w:b/>
          <w:bCs/>
          <w:sz w:val="22"/>
          <w:szCs w:val="22"/>
          <w:u w:val="single"/>
          <w:rtl/>
        </w:rPr>
        <w:t>הקרן</w:t>
      </w:r>
      <w:r w:rsidR="00037360" w:rsidRPr="006B0055">
        <w:rPr>
          <w:b/>
          <w:bCs/>
          <w:sz w:val="22"/>
          <w:szCs w:val="22"/>
          <w:u w:val="single"/>
          <w:rtl/>
        </w:rPr>
        <w:t xml:space="preserve"> </w:t>
      </w:r>
      <w:r w:rsidR="00037360" w:rsidRPr="006B0055">
        <w:rPr>
          <w:rFonts w:hint="eastAsia"/>
          <w:b/>
          <w:bCs/>
          <w:sz w:val="22"/>
          <w:szCs w:val="22"/>
          <w:u w:val="single"/>
          <w:rtl/>
        </w:rPr>
        <w:t>במו</w:t>
      </w:r>
      <w:r w:rsidR="00037360" w:rsidRPr="006B0055">
        <w:rPr>
          <w:b/>
          <w:bCs/>
          <w:sz w:val="22"/>
          <w:szCs w:val="22"/>
          <w:u w:val="single"/>
          <w:rtl/>
        </w:rPr>
        <w:t xml:space="preserve">"פ </w:t>
      </w:r>
      <w:r w:rsidR="00037360" w:rsidRPr="006B0055">
        <w:rPr>
          <w:rFonts w:hint="eastAsia"/>
          <w:b/>
          <w:bCs/>
          <w:sz w:val="22"/>
          <w:szCs w:val="22"/>
          <w:u w:val="single"/>
          <w:rtl/>
        </w:rPr>
        <w:t>בנושאי</w:t>
      </w:r>
      <w:r w:rsidR="00037360" w:rsidRPr="006B0055">
        <w:rPr>
          <w:b/>
          <w:bCs/>
          <w:sz w:val="22"/>
          <w:szCs w:val="22"/>
          <w:u w:val="single"/>
          <w:rtl/>
        </w:rPr>
        <w:t xml:space="preserve"> </w:t>
      </w:r>
      <w:r w:rsidR="00037360" w:rsidRPr="006B0055">
        <w:rPr>
          <w:rFonts w:hint="eastAsia"/>
          <w:b/>
          <w:bCs/>
          <w:sz w:val="22"/>
          <w:szCs w:val="22"/>
          <w:u w:val="single"/>
          <w:rtl/>
        </w:rPr>
        <w:t>אנרגיה</w:t>
      </w:r>
      <w:r w:rsidR="00037360" w:rsidRPr="006B0055">
        <w:rPr>
          <w:b/>
          <w:bCs/>
          <w:sz w:val="22"/>
          <w:szCs w:val="22"/>
          <w:u w:val="single"/>
          <w:rtl/>
        </w:rPr>
        <w:t xml:space="preserve"> </w:t>
      </w:r>
      <w:r w:rsidR="00037360" w:rsidRPr="006B0055">
        <w:rPr>
          <w:rFonts w:hint="eastAsia"/>
          <w:b/>
          <w:bCs/>
          <w:sz w:val="22"/>
          <w:szCs w:val="22"/>
          <w:u w:val="single"/>
          <w:rtl/>
        </w:rPr>
        <w:t>חלופית</w:t>
      </w:r>
      <w:r w:rsidR="00037360" w:rsidRPr="006B0055">
        <w:rPr>
          <w:b/>
          <w:bCs/>
          <w:sz w:val="22"/>
          <w:szCs w:val="22"/>
          <w:u w:val="single"/>
          <w:rtl/>
        </w:rPr>
        <w:t xml:space="preserve">, </w:t>
      </w:r>
      <w:r w:rsidR="00037360" w:rsidRPr="006B0055">
        <w:rPr>
          <w:rFonts w:hint="eastAsia"/>
          <w:b/>
          <w:bCs/>
          <w:sz w:val="22"/>
          <w:szCs w:val="22"/>
          <w:u w:val="single"/>
          <w:rtl/>
        </w:rPr>
        <w:t>מתחדשת</w:t>
      </w:r>
      <w:r w:rsidR="00037360" w:rsidRPr="006B0055">
        <w:rPr>
          <w:b/>
          <w:bCs/>
          <w:sz w:val="22"/>
          <w:szCs w:val="22"/>
          <w:u w:val="single"/>
          <w:rtl/>
        </w:rPr>
        <w:t xml:space="preserve"> </w:t>
      </w:r>
      <w:r w:rsidR="00037360" w:rsidRPr="006B0055">
        <w:rPr>
          <w:rFonts w:hint="cs"/>
          <w:b/>
          <w:bCs/>
          <w:sz w:val="22"/>
          <w:szCs w:val="22"/>
          <w:u w:val="single"/>
          <w:rtl/>
        </w:rPr>
        <w:t xml:space="preserve">תחליפי נפט </w:t>
      </w:r>
      <w:r w:rsidR="00037360" w:rsidRPr="006B0055">
        <w:rPr>
          <w:rFonts w:hint="eastAsia"/>
          <w:b/>
          <w:bCs/>
          <w:sz w:val="22"/>
          <w:szCs w:val="22"/>
          <w:u w:val="single"/>
          <w:rtl/>
        </w:rPr>
        <w:t>והתייעלות</w:t>
      </w:r>
      <w:r w:rsidR="00037360" w:rsidRPr="006B0055">
        <w:rPr>
          <w:b/>
          <w:bCs/>
          <w:sz w:val="22"/>
          <w:szCs w:val="22"/>
          <w:u w:val="single"/>
          <w:rtl/>
        </w:rPr>
        <w:t xml:space="preserve"> </w:t>
      </w:r>
      <w:r w:rsidR="00037360" w:rsidRPr="006B0055">
        <w:rPr>
          <w:rFonts w:hint="eastAsia"/>
          <w:b/>
          <w:bCs/>
          <w:sz w:val="22"/>
          <w:szCs w:val="22"/>
          <w:u w:val="single"/>
          <w:rtl/>
        </w:rPr>
        <w:t>אנרגטית</w:t>
      </w:r>
    </w:p>
    <w:p w14:paraId="40397F5B" w14:textId="065BDCB2" w:rsidR="00037360" w:rsidRDefault="00037360" w:rsidP="00037360">
      <w:pPr>
        <w:spacing w:line="276" w:lineRule="auto"/>
        <w:jc w:val="both"/>
        <w:rPr>
          <w:szCs w:val="24"/>
          <w:rtl/>
        </w:rPr>
      </w:pPr>
      <w:bookmarkStart w:id="1" w:name="Start"/>
      <w:bookmarkEnd w:id="1"/>
      <w:r>
        <w:rPr>
          <w:rFonts w:hint="eastAsia"/>
          <w:szCs w:val="24"/>
          <w:rtl/>
        </w:rPr>
        <w:t>משרד ה</w:t>
      </w:r>
      <w:r>
        <w:rPr>
          <w:rFonts w:hint="cs"/>
          <w:szCs w:val="24"/>
          <w:rtl/>
        </w:rPr>
        <w:t>תשתיות הלאומיות הא</w:t>
      </w:r>
      <w:r>
        <w:rPr>
          <w:rFonts w:hint="eastAsia"/>
          <w:szCs w:val="24"/>
          <w:rtl/>
        </w:rPr>
        <w:t>נרגיה והמים</w:t>
      </w:r>
      <w:r>
        <w:rPr>
          <w:rFonts w:hint="cs"/>
          <w:szCs w:val="24"/>
          <w:rtl/>
        </w:rPr>
        <w:t xml:space="preserve"> </w:t>
      </w:r>
      <w:r w:rsidRPr="003E628E">
        <w:rPr>
          <w:szCs w:val="24"/>
          <w:rtl/>
        </w:rPr>
        <w:t xml:space="preserve">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78D794A8" w14:textId="77777777" w:rsidR="00037360" w:rsidRDefault="00037360" w:rsidP="00037360">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w:t>
      </w:r>
      <w:r w:rsidRPr="003E628E">
        <w:rPr>
          <w:rFonts w:hint="cs"/>
          <w:szCs w:val="24"/>
          <w:rtl/>
        </w:rPr>
        <w:t>תוכנותיהם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 xml:space="preserve">ועד </w:t>
      </w:r>
      <w:r w:rsidRPr="003E628E">
        <w:rPr>
          <w:szCs w:val="24"/>
          <w:rtl/>
        </w:rPr>
        <w:t xml:space="preserve">תקרה של </w:t>
      </w:r>
      <w:r>
        <w:rPr>
          <w:rFonts w:hint="cs"/>
          <w:szCs w:val="24"/>
          <w:rtl/>
        </w:rPr>
        <w:t>750</w:t>
      </w:r>
      <w:r w:rsidRPr="003E628E">
        <w:rPr>
          <w:rFonts w:hint="cs"/>
          <w:szCs w:val="24"/>
          <w:rtl/>
        </w:rPr>
        <w:t>,000 ₪</w:t>
      </w:r>
      <w:r>
        <w:rPr>
          <w:rFonts w:hint="cs"/>
          <w:szCs w:val="24"/>
          <w:rtl/>
        </w:rPr>
        <w:t>.</w:t>
      </w:r>
    </w:p>
    <w:p w14:paraId="1585DADD" w14:textId="77777777" w:rsidR="00037360" w:rsidRPr="0055480E" w:rsidRDefault="00037360" w:rsidP="00037360">
      <w:pPr>
        <w:spacing w:line="276" w:lineRule="auto"/>
        <w:jc w:val="both"/>
        <w:rPr>
          <w:szCs w:val="24"/>
          <w:rtl/>
        </w:rPr>
      </w:pPr>
      <w:r w:rsidRPr="003020EC">
        <w:rPr>
          <w:szCs w:val="24"/>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כדוגמת שיתוף הפעולה של המדען הראשי עם ה - </w:t>
      </w:r>
      <w:r w:rsidRPr="003020EC">
        <w:rPr>
          <w:szCs w:val="24"/>
        </w:rPr>
        <w:t>Solar ERA-NET</w:t>
      </w:r>
      <w:r w:rsidRPr="003020EC">
        <w:rPr>
          <w:szCs w:val="24"/>
          <w:rtl/>
        </w:rPr>
        <w:t xml:space="preserve"> (פרטים נוספים באתר: </w:t>
      </w:r>
      <w:r w:rsidRPr="003020EC">
        <w:rPr>
          <w:szCs w:val="24"/>
        </w:rPr>
        <w:t>http://www.</w:t>
      </w:r>
      <w:r w:rsidRPr="003020EC">
        <w:t>solar-era.net/joint-calls</w:t>
      </w:r>
      <w:r w:rsidRPr="003020EC">
        <w:rPr>
          <w:rtl/>
        </w:rPr>
        <w:t>)</w:t>
      </w:r>
    </w:p>
    <w:p w14:paraId="5BA0B5C2" w14:textId="77777777" w:rsidR="005A6970" w:rsidRPr="003E628E" w:rsidRDefault="005A6970" w:rsidP="005A6970">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14:paraId="04F1CCC1" w14:textId="77777777" w:rsidR="00037360" w:rsidRPr="00291508" w:rsidRDefault="00037360" w:rsidP="006B0055">
      <w:pPr>
        <w:pStyle w:val="ae"/>
        <w:numPr>
          <w:ilvl w:val="0"/>
          <w:numId w:val="30"/>
        </w:numPr>
        <w:spacing w:after="120"/>
        <w:jc w:val="both"/>
        <w:rPr>
          <w:szCs w:val="24"/>
        </w:rPr>
      </w:pPr>
      <w:r w:rsidRPr="00291508">
        <w:rPr>
          <w:rFonts w:hint="eastAsia"/>
          <w:szCs w:val="24"/>
          <w:rtl/>
        </w:rPr>
        <w:t>אנרגי</w:t>
      </w:r>
      <w:r w:rsidRPr="00291508">
        <w:rPr>
          <w:rFonts w:hint="cs"/>
          <w:szCs w:val="24"/>
          <w:rtl/>
        </w:rPr>
        <w:t>ות מתחדשות וחלופיות</w:t>
      </w:r>
    </w:p>
    <w:p w14:paraId="4B48C541" w14:textId="77777777" w:rsidR="00037360" w:rsidRPr="00291508" w:rsidRDefault="00037360" w:rsidP="006B0055">
      <w:pPr>
        <w:pStyle w:val="ae"/>
        <w:numPr>
          <w:ilvl w:val="0"/>
          <w:numId w:val="30"/>
        </w:numPr>
        <w:spacing w:after="120"/>
        <w:jc w:val="both"/>
        <w:rPr>
          <w:szCs w:val="24"/>
          <w:rtl/>
        </w:rPr>
      </w:pPr>
      <w:r w:rsidRPr="00291508">
        <w:rPr>
          <w:rFonts w:hint="cs"/>
          <w:szCs w:val="24"/>
          <w:rtl/>
        </w:rPr>
        <w:t>התייעלות אנרגטית ושימור אנרגיה. קיימות במרחב האורבני</w:t>
      </w:r>
    </w:p>
    <w:p w14:paraId="41C430D8" w14:textId="77777777" w:rsidR="00037360" w:rsidRPr="00291508" w:rsidRDefault="00037360" w:rsidP="006B0055">
      <w:pPr>
        <w:pStyle w:val="ae"/>
        <w:numPr>
          <w:ilvl w:val="0"/>
          <w:numId w:val="30"/>
        </w:numPr>
        <w:spacing w:after="120"/>
        <w:jc w:val="both"/>
        <w:rPr>
          <w:szCs w:val="24"/>
        </w:rPr>
      </w:pPr>
      <w:r w:rsidRPr="00291508">
        <w:rPr>
          <w:rFonts w:hint="cs"/>
          <w:szCs w:val="24"/>
          <w:rtl/>
        </w:rPr>
        <w:t>אגירת אנרגיה והמרות אנרגיה</w:t>
      </w:r>
    </w:p>
    <w:p w14:paraId="1E92AD55" w14:textId="77777777" w:rsidR="00037360" w:rsidRPr="00291508" w:rsidRDefault="00037360" w:rsidP="006B0055">
      <w:pPr>
        <w:pStyle w:val="ae"/>
        <w:numPr>
          <w:ilvl w:val="0"/>
          <w:numId w:val="30"/>
        </w:numPr>
        <w:spacing w:after="120"/>
        <w:jc w:val="both"/>
        <w:rPr>
          <w:szCs w:val="24"/>
        </w:rPr>
      </w:pPr>
      <w:r w:rsidRPr="00291508">
        <w:rPr>
          <w:rFonts w:hint="cs"/>
          <w:szCs w:val="24"/>
          <w:rtl/>
        </w:rPr>
        <w:t>רשת החשמל</w:t>
      </w:r>
    </w:p>
    <w:p w14:paraId="7C1047B4" w14:textId="77777777" w:rsidR="00037360" w:rsidRPr="00291508" w:rsidRDefault="00037360" w:rsidP="006B0055">
      <w:pPr>
        <w:pStyle w:val="ae"/>
        <w:numPr>
          <w:ilvl w:val="0"/>
          <w:numId w:val="30"/>
        </w:numPr>
        <w:spacing w:after="120"/>
        <w:jc w:val="both"/>
        <w:rPr>
          <w:szCs w:val="24"/>
        </w:rPr>
      </w:pPr>
      <w:r w:rsidRPr="00291508">
        <w:rPr>
          <w:szCs w:val="24"/>
          <w:rtl/>
        </w:rPr>
        <w:t xml:space="preserve">תחליפי נפט לתחבורה ולתעשייה </w:t>
      </w:r>
    </w:p>
    <w:p w14:paraId="179BBC94" w14:textId="77777777" w:rsidR="00037360" w:rsidRPr="00291508" w:rsidRDefault="00037360" w:rsidP="006B0055">
      <w:pPr>
        <w:pStyle w:val="ae"/>
        <w:numPr>
          <w:ilvl w:val="0"/>
          <w:numId w:val="30"/>
        </w:numPr>
        <w:spacing w:after="120"/>
        <w:jc w:val="both"/>
        <w:rPr>
          <w:szCs w:val="24"/>
          <w:rtl/>
        </w:rPr>
      </w:pPr>
      <w:r>
        <w:rPr>
          <w:rFonts w:hint="cs"/>
          <w:szCs w:val="24"/>
          <w:rtl/>
        </w:rPr>
        <w:t>אנרגיה במשק המים</w:t>
      </w:r>
    </w:p>
    <w:p w14:paraId="4C9E3ABA" w14:textId="77777777" w:rsidR="00037360" w:rsidRDefault="00037360" w:rsidP="006B0055">
      <w:pPr>
        <w:pStyle w:val="ae"/>
        <w:numPr>
          <w:ilvl w:val="0"/>
          <w:numId w:val="30"/>
        </w:numPr>
        <w:spacing w:after="120"/>
        <w:jc w:val="both"/>
        <w:rPr>
          <w:szCs w:val="24"/>
        </w:rPr>
      </w:pPr>
      <w:r>
        <w:rPr>
          <w:rFonts w:hint="cs"/>
          <w:szCs w:val="24"/>
          <w:rtl/>
        </w:rPr>
        <w:t>פתרונות טכנולוגיים וסביבתיים הקשורים בהפקת אנרגיה</w:t>
      </w:r>
    </w:p>
    <w:p w14:paraId="108A37AD" w14:textId="77777777" w:rsidR="00E37340" w:rsidRPr="00037360" w:rsidRDefault="00E37340" w:rsidP="00E37340">
      <w:pPr>
        <w:pStyle w:val="ae"/>
        <w:spacing w:line="276" w:lineRule="auto"/>
        <w:ind w:left="360" w:hanging="360"/>
        <w:rPr>
          <w:szCs w:val="24"/>
          <w:rtl/>
        </w:rPr>
      </w:pPr>
    </w:p>
    <w:p w14:paraId="481D1C9C" w14:textId="77777777" w:rsidR="005A6970" w:rsidRPr="006B0055" w:rsidRDefault="005A6970" w:rsidP="005A6970">
      <w:pPr>
        <w:pStyle w:val="ae"/>
        <w:spacing w:line="276" w:lineRule="auto"/>
        <w:ind w:left="0"/>
        <w:rPr>
          <w:rFonts w:eastAsiaTheme="majorEastAsia"/>
          <w:b/>
          <w:bCs/>
          <w:szCs w:val="24"/>
          <w:rtl/>
        </w:rPr>
      </w:pPr>
      <w:r w:rsidRPr="006B0055">
        <w:rPr>
          <w:rFonts w:eastAsiaTheme="majorEastAsia" w:hint="eastAsia"/>
          <w:b/>
          <w:bCs/>
          <w:szCs w:val="24"/>
          <w:rtl/>
        </w:rPr>
        <w:t>יובהר</w:t>
      </w:r>
      <w:r w:rsidRPr="006B0055">
        <w:rPr>
          <w:rFonts w:eastAsiaTheme="majorEastAsia"/>
          <w:b/>
          <w:bCs/>
          <w:szCs w:val="24"/>
          <w:rtl/>
        </w:rPr>
        <w:t xml:space="preserve"> </w:t>
      </w:r>
      <w:r w:rsidRPr="006B0055">
        <w:rPr>
          <w:rFonts w:eastAsiaTheme="majorEastAsia" w:hint="eastAsia"/>
          <w:b/>
          <w:bCs/>
          <w:szCs w:val="24"/>
          <w:rtl/>
        </w:rPr>
        <w:t>ויודגש</w:t>
      </w:r>
      <w:r w:rsidRPr="006B0055">
        <w:rPr>
          <w:rFonts w:eastAsiaTheme="majorEastAsia"/>
          <w:b/>
          <w:bCs/>
          <w:szCs w:val="24"/>
          <w:rtl/>
        </w:rPr>
        <w:t xml:space="preserve"> </w:t>
      </w:r>
      <w:r w:rsidRPr="006B0055">
        <w:rPr>
          <w:rFonts w:eastAsiaTheme="majorEastAsia" w:hint="eastAsia"/>
          <w:b/>
          <w:bCs/>
          <w:szCs w:val="24"/>
          <w:rtl/>
        </w:rPr>
        <w:t>כי</w:t>
      </w:r>
      <w:r w:rsidRPr="006B0055">
        <w:rPr>
          <w:rFonts w:eastAsiaTheme="majorEastAsia"/>
          <w:b/>
          <w:bCs/>
          <w:szCs w:val="24"/>
          <w:rtl/>
        </w:rPr>
        <w:t xml:space="preserve"> </w:t>
      </w:r>
      <w:r w:rsidRPr="006B0055">
        <w:rPr>
          <w:rFonts w:eastAsiaTheme="majorEastAsia" w:hint="eastAsia"/>
          <w:b/>
          <w:bCs/>
          <w:szCs w:val="24"/>
          <w:rtl/>
        </w:rPr>
        <w:t>זמינותו</w:t>
      </w:r>
      <w:r w:rsidRPr="006B0055">
        <w:rPr>
          <w:rFonts w:eastAsiaTheme="majorEastAsia"/>
          <w:b/>
          <w:bCs/>
          <w:szCs w:val="24"/>
          <w:rtl/>
        </w:rPr>
        <w:t xml:space="preserve"> </w:t>
      </w:r>
      <w:r w:rsidRPr="006B0055">
        <w:rPr>
          <w:rFonts w:eastAsiaTheme="majorEastAsia" w:hint="eastAsia"/>
          <w:b/>
          <w:bCs/>
          <w:szCs w:val="24"/>
          <w:rtl/>
        </w:rPr>
        <w:t>של</w:t>
      </w:r>
      <w:r w:rsidRPr="006B0055">
        <w:rPr>
          <w:rFonts w:eastAsiaTheme="majorEastAsia"/>
          <w:b/>
          <w:bCs/>
          <w:szCs w:val="24"/>
          <w:rtl/>
        </w:rPr>
        <w:t xml:space="preserve"> </w:t>
      </w:r>
      <w:r w:rsidRPr="006B0055">
        <w:rPr>
          <w:rFonts w:eastAsiaTheme="majorEastAsia" w:hint="eastAsia"/>
          <w:b/>
          <w:bCs/>
          <w:szCs w:val="24"/>
          <w:rtl/>
        </w:rPr>
        <w:t>התקציב</w:t>
      </w:r>
      <w:r w:rsidRPr="006B0055">
        <w:rPr>
          <w:rFonts w:eastAsiaTheme="majorEastAsia"/>
          <w:b/>
          <w:bCs/>
          <w:szCs w:val="24"/>
          <w:rtl/>
        </w:rPr>
        <w:t xml:space="preserve"> </w:t>
      </w:r>
      <w:r w:rsidRPr="006B0055">
        <w:rPr>
          <w:rFonts w:eastAsiaTheme="majorEastAsia" w:hint="eastAsia"/>
          <w:b/>
          <w:bCs/>
          <w:szCs w:val="24"/>
          <w:rtl/>
        </w:rPr>
        <w:t>לביצוע</w:t>
      </w:r>
      <w:r w:rsidRPr="006B0055">
        <w:rPr>
          <w:rFonts w:eastAsiaTheme="majorEastAsia"/>
          <w:b/>
          <w:bCs/>
          <w:szCs w:val="24"/>
          <w:rtl/>
        </w:rPr>
        <w:t xml:space="preserve"> </w:t>
      </w:r>
      <w:r w:rsidRPr="006B0055">
        <w:rPr>
          <w:rFonts w:eastAsiaTheme="majorEastAsia" w:hint="eastAsia"/>
          <w:b/>
          <w:bCs/>
          <w:szCs w:val="24"/>
          <w:rtl/>
        </w:rPr>
        <w:t>ההתקשרות</w:t>
      </w:r>
      <w:r w:rsidRPr="006B0055">
        <w:rPr>
          <w:rFonts w:eastAsiaTheme="majorEastAsia"/>
          <w:b/>
          <w:bCs/>
          <w:szCs w:val="24"/>
          <w:rtl/>
        </w:rPr>
        <w:t xml:space="preserve"> </w:t>
      </w:r>
      <w:r w:rsidRPr="006B0055">
        <w:rPr>
          <w:rFonts w:eastAsiaTheme="majorEastAsia" w:hint="eastAsia"/>
          <w:b/>
          <w:bCs/>
          <w:szCs w:val="24"/>
          <w:rtl/>
        </w:rPr>
        <w:t>אינו</w:t>
      </w:r>
      <w:r w:rsidRPr="006B0055">
        <w:rPr>
          <w:rFonts w:eastAsiaTheme="majorEastAsia"/>
          <w:b/>
          <w:bCs/>
          <w:szCs w:val="24"/>
          <w:rtl/>
        </w:rPr>
        <w:t xml:space="preserve"> </w:t>
      </w:r>
      <w:r w:rsidRPr="006B0055">
        <w:rPr>
          <w:rFonts w:eastAsiaTheme="majorEastAsia" w:hint="eastAsia"/>
          <w:b/>
          <w:bCs/>
          <w:szCs w:val="24"/>
          <w:rtl/>
        </w:rPr>
        <w:t>מובטח</w:t>
      </w:r>
      <w:r w:rsidRPr="006B0055">
        <w:rPr>
          <w:rFonts w:eastAsiaTheme="majorEastAsia"/>
          <w:b/>
          <w:bCs/>
          <w:szCs w:val="24"/>
          <w:rtl/>
        </w:rPr>
        <w:t xml:space="preserve"> </w:t>
      </w:r>
      <w:r w:rsidRPr="006B0055">
        <w:rPr>
          <w:rFonts w:eastAsiaTheme="majorEastAsia" w:hint="eastAsia"/>
          <w:b/>
          <w:bCs/>
          <w:szCs w:val="24"/>
          <w:rtl/>
        </w:rPr>
        <w:t>בשלב</w:t>
      </w:r>
      <w:r w:rsidRPr="006B0055">
        <w:rPr>
          <w:rFonts w:eastAsiaTheme="majorEastAsia"/>
          <w:b/>
          <w:bCs/>
          <w:szCs w:val="24"/>
          <w:rtl/>
        </w:rPr>
        <w:t xml:space="preserve"> </w:t>
      </w:r>
      <w:r w:rsidRPr="006B0055">
        <w:rPr>
          <w:rFonts w:eastAsiaTheme="majorEastAsia" w:hint="eastAsia"/>
          <w:b/>
          <w:bCs/>
          <w:szCs w:val="24"/>
          <w:rtl/>
        </w:rPr>
        <w:t>פרסום</w:t>
      </w:r>
      <w:r w:rsidRPr="006B0055">
        <w:rPr>
          <w:rFonts w:eastAsiaTheme="majorEastAsia" w:hint="cs"/>
          <w:b/>
          <w:bCs/>
          <w:szCs w:val="24"/>
          <w:rtl/>
        </w:rPr>
        <w:t>.</w:t>
      </w:r>
      <w:r w:rsidRPr="006B0055">
        <w:rPr>
          <w:rFonts w:eastAsiaTheme="majorEastAsia"/>
          <w:b/>
          <w:bCs/>
          <w:szCs w:val="24"/>
          <w:rtl/>
        </w:rPr>
        <w:t xml:space="preserve"> </w:t>
      </w:r>
      <w:r w:rsidRPr="006B0055">
        <w:rPr>
          <w:rFonts w:eastAsiaTheme="majorEastAsia" w:hint="eastAsia"/>
          <w:b/>
          <w:bCs/>
          <w:szCs w:val="24"/>
          <w:rtl/>
        </w:rPr>
        <w:t>הפניה</w:t>
      </w:r>
      <w:r w:rsidRPr="006B0055">
        <w:rPr>
          <w:rFonts w:eastAsiaTheme="majorEastAsia"/>
          <w:b/>
          <w:bCs/>
          <w:szCs w:val="24"/>
          <w:rtl/>
        </w:rPr>
        <w:t xml:space="preserve"> </w:t>
      </w:r>
      <w:r w:rsidRPr="006B0055">
        <w:rPr>
          <w:rFonts w:eastAsiaTheme="majorEastAsia" w:hint="eastAsia"/>
          <w:b/>
          <w:bCs/>
          <w:szCs w:val="24"/>
          <w:rtl/>
        </w:rPr>
        <w:t>וההתקשרות</w:t>
      </w:r>
      <w:r w:rsidRPr="006B0055">
        <w:rPr>
          <w:rFonts w:eastAsiaTheme="majorEastAsia"/>
          <w:b/>
          <w:bCs/>
          <w:szCs w:val="24"/>
          <w:rtl/>
        </w:rPr>
        <w:t xml:space="preserve"> </w:t>
      </w:r>
      <w:r w:rsidRPr="006B0055">
        <w:rPr>
          <w:rFonts w:eastAsiaTheme="majorEastAsia" w:hint="eastAsia"/>
          <w:b/>
          <w:bCs/>
          <w:szCs w:val="24"/>
          <w:rtl/>
        </w:rPr>
        <w:t>עם</w:t>
      </w:r>
      <w:r w:rsidRPr="006B0055">
        <w:rPr>
          <w:rFonts w:eastAsiaTheme="majorEastAsia"/>
          <w:b/>
          <w:bCs/>
          <w:szCs w:val="24"/>
          <w:rtl/>
        </w:rPr>
        <w:t xml:space="preserve"> </w:t>
      </w:r>
      <w:r w:rsidRPr="006B0055">
        <w:rPr>
          <w:rFonts w:eastAsiaTheme="majorEastAsia" w:hint="eastAsia"/>
          <w:b/>
          <w:bCs/>
          <w:szCs w:val="24"/>
          <w:rtl/>
        </w:rPr>
        <w:t>הזוכה</w:t>
      </w:r>
      <w:r w:rsidRPr="006B0055">
        <w:rPr>
          <w:rFonts w:eastAsiaTheme="majorEastAsia"/>
          <w:b/>
          <w:bCs/>
          <w:szCs w:val="24"/>
          <w:rtl/>
        </w:rPr>
        <w:t xml:space="preserve"> </w:t>
      </w:r>
      <w:r w:rsidRPr="006B0055">
        <w:rPr>
          <w:rFonts w:eastAsiaTheme="majorEastAsia" w:hint="eastAsia"/>
          <w:b/>
          <w:bCs/>
          <w:szCs w:val="24"/>
          <w:rtl/>
        </w:rPr>
        <w:t>מותני</w:t>
      </w:r>
      <w:r w:rsidRPr="006B0055">
        <w:rPr>
          <w:rFonts w:eastAsiaTheme="majorEastAsia" w:hint="cs"/>
          <w:b/>
          <w:bCs/>
          <w:szCs w:val="24"/>
          <w:rtl/>
        </w:rPr>
        <w:t>ת בקיומו של תקציב זמין ואישור ת</w:t>
      </w:r>
      <w:r w:rsidRPr="006B0055">
        <w:rPr>
          <w:rFonts w:eastAsiaTheme="majorEastAsia" w:hint="eastAsia"/>
          <w:b/>
          <w:bCs/>
          <w:szCs w:val="24"/>
          <w:rtl/>
        </w:rPr>
        <w:t>קציב</w:t>
      </w:r>
      <w:r w:rsidRPr="006B0055">
        <w:rPr>
          <w:rFonts w:eastAsiaTheme="majorEastAsia"/>
          <w:b/>
          <w:bCs/>
          <w:szCs w:val="24"/>
          <w:rtl/>
        </w:rPr>
        <w:t xml:space="preserve"> </w:t>
      </w:r>
      <w:r w:rsidRPr="006B0055">
        <w:rPr>
          <w:rFonts w:eastAsiaTheme="majorEastAsia" w:hint="eastAsia"/>
          <w:b/>
          <w:bCs/>
          <w:szCs w:val="24"/>
          <w:rtl/>
        </w:rPr>
        <w:t>המדינה</w:t>
      </w:r>
      <w:r w:rsidRPr="006B0055">
        <w:rPr>
          <w:rFonts w:eastAsiaTheme="majorEastAsia"/>
          <w:b/>
          <w:bCs/>
          <w:szCs w:val="24"/>
          <w:rtl/>
        </w:rPr>
        <w:t>.</w:t>
      </w:r>
    </w:p>
    <w:p w14:paraId="1FDF5D39" w14:textId="77777777" w:rsidR="005A6970" w:rsidRPr="006B0055" w:rsidRDefault="005A6970" w:rsidP="005A6970">
      <w:pPr>
        <w:pStyle w:val="a"/>
        <w:numPr>
          <w:ilvl w:val="0"/>
          <w:numId w:val="0"/>
        </w:numPr>
        <w:spacing w:before="0" w:line="240" w:lineRule="auto"/>
        <w:ind w:left="376"/>
        <w:rPr>
          <w:rFonts w:cs="David"/>
          <w:b w:val="0"/>
          <w:bCs w:val="0"/>
          <w:color w:val="auto"/>
          <w:sz w:val="24"/>
          <w:szCs w:val="24"/>
          <w:rtl/>
        </w:rPr>
      </w:pPr>
    </w:p>
    <w:p w14:paraId="5708114C" w14:textId="0C39153E" w:rsidR="005A6970" w:rsidRPr="006B0055" w:rsidRDefault="005A6970" w:rsidP="006B0055">
      <w:pPr>
        <w:spacing w:after="120" w:line="276" w:lineRule="auto"/>
        <w:jc w:val="both"/>
        <w:rPr>
          <w:szCs w:val="24"/>
          <w:rtl/>
        </w:rPr>
      </w:pPr>
      <w:r w:rsidRPr="006B0055">
        <w:rPr>
          <w:rFonts w:hint="eastAsia"/>
          <w:b/>
          <w:bCs/>
          <w:szCs w:val="24"/>
          <w:u w:val="single"/>
          <w:rtl/>
        </w:rPr>
        <w:t>כנס</w:t>
      </w:r>
      <w:r w:rsidRPr="006B0055">
        <w:rPr>
          <w:b/>
          <w:bCs/>
          <w:szCs w:val="24"/>
          <w:u w:val="single"/>
          <w:rtl/>
        </w:rPr>
        <w:t xml:space="preserve"> </w:t>
      </w:r>
      <w:r w:rsidRPr="006B0055">
        <w:rPr>
          <w:rFonts w:hint="eastAsia"/>
          <w:b/>
          <w:bCs/>
          <w:szCs w:val="24"/>
          <w:u w:val="single"/>
          <w:rtl/>
        </w:rPr>
        <w:t>מציעים</w:t>
      </w:r>
      <w:r w:rsidRPr="006B0055">
        <w:rPr>
          <w:szCs w:val="24"/>
          <w:rtl/>
        </w:rPr>
        <w:t xml:space="preserve">: </w:t>
      </w:r>
      <w:r w:rsidRPr="006B0055">
        <w:rPr>
          <w:rFonts w:hint="eastAsia"/>
          <w:szCs w:val="24"/>
          <w:rtl/>
        </w:rPr>
        <w:t>יערך</w:t>
      </w:r>
      <w:r w:rsidRPr="006B0055">
        <w:rPr>
          <w:szCs w:val="24"/>
          <w:rtl/>
        </w:rPr>
        <w:t xml:space="preserve"> </w:t>
      </w:r>
      <w:r w:rsidRPr="006B0055">
        <w:rPr>
          <w:rFonts w:hint="cs"/>
          <w:szCs w:val="24"/>
          <w:rtl/>
        </w:rPr>
        <w:t xml:space="preserve">ביום </w:t>
      </w:r>
      <w:r w:rsidR="006B0055" w:rsidRPr="006B0055">
        <w:rPr>
          <w:rFonts w:hint="cs"/>
          <w:b/>
          <w:bCs/>
          <w:szCs w:val="24"/>
          <w:u w:val="single"/>
          <w:rtl/>
        </w:rPr>
        <w:t>21.5.15</w:t>
      </w:r>
      <w:r w:rsidRPr="006B0055">
        <w:rPr>
          <w:rFonts w:hint="cs"/>
          <w:szCs w:val="24"/>
          <w:rtl/>
        </w:rPr>
        <w:t xml:space="preserve"> </w:t>
      </w:r>
      <w:r w:rsidRPr="006B0055">
        <w:rPr>
          <w:szCs w:val="24"/>
          <w:rtl/>
        </w:rPr>
        <w:t xml:space="preserve">בשעה </w:t>
      </w:r>
      <w:r w:rsidRPr="006B0055">
        <w:rPr>
          <w:rFonts w:hint="cs"/>
          <w:b/>
          <w:bCs/>
          <w:szCs w:val="24"/>
          <w:u w:val="single"/>
          <w:rtl/>
        </w:rPr>
        <w:t>12:00</w:t>
      </w:r>
      <w:r w:rsidRPr="006B0055">
        <w:rPr>
          <w:rFonts w:hint="cs"/>
          <w:szCs w:val="24"/>
          <w:rtl/>
        </w:rPr>
        <w:t xml:space="preserve"> </w:t>
      </w:r>
      <w:r w:rsidRPr="006B0055">
        <w:rPr>
          <w:szCs w:val="24"/>
          <w:rtl/>
        </w:rPr>
        <w:t xml:space="preserve">בבניין שערי העיר, </w:t>
      </w:r>
      <w:r w:rsidRPr="006B0055">
        <w:rPr>
          <w:rFonts w:hint="eastAsia"/>
          <w:szCs w:val="24"/>
          <w:rtl/>
        </w:rPr>
        <w:t>רח</w:t>
      </w:r>
      <w:r w:rsidRPr="006B0055">
        <w:rPr>
          <w:szCs w:val="24"/>
          <w:rtl/>
        </w:rPr>
        <w:t xml:space="preserve">' </w:t>
      </w:r>
      <w:r w:rsidRPr="006B0055">
        <w:rPr>
          <w:rFonts w:hint="eastAsia"/>
          <w:szCs w:val="24"/>
          <w:rtl/>
        </w:rPr>
        <w:t>יפו</w:t>
      </w:r>
      <w:r w:rsidRPr="006B0055">
        <w:rPr>
          <w:szCs w:val="24"/>
          <w:rtl/>
        </w:rPr>
        <w:t xml:space="preserve"> 216 </w:t>
      </w:r>
      <w:r w:rsidRPr="006B0055">
        <w:rPr>
          <w:rFonts w:hint="eastAsia"/>
          <w:szCs w:val="24"/>
          <w:rtl/>
        </w:rPr>
        <w:t>ירושלים</w:t>
      </w:r>
      <w:r w:rsidRPr="006B0055">
        <w:rPr>
          <w:szCs w:val="24"/>
          <w:rtl/>
        </w:rPr>
        <w:t xml:space="preserve">, </w:t>
      </w:r>
      <w:r w:rsidRPr="006B0055">
        <w:rPr>
          <w:rFonts w:hint="eastAsia"/>
          <w:szCs w:val="24"/>
          <w:rtl/>
        </w:rPr>
        <w:t>קומה</w:t>
      </w:r>
      <w:r w:rsidRPr="006B0055">
        <w:rPr>
          <w:szCs w:val="24"/>
          <w:rtl/>
        </w:rPr>
        <w:t xml:space="preserve"> 7 </w:t>
      </w:r>
      <w:r w:rsidRPr="006B0055">
        <w:rPr>
          <w:rFonts w:hint="eastAsia"/>
          <w:szCs w:val="24"/>
          <w:rtl/>
        </w:rPr>
        <w:t>בחדר</w:t>
      </w:r>
      <w:r w:rsidRPr="006B0055">
        <w:rPr>
          <w:szCs w:val="24"/>
          <w:rtl/>
        </w:rPr>
        <w:t xml:space="preserve"> </w:t>
      </w:r>
      <w:r w:rsidRPr="006B0055">
        <w:rPr>
          <w:rFonts w:hint="eastAsia"/>
          <w:szCs w:val="24"/>
          <w:rtl/>
        </w:rPr>
        <w:t>ישיבות</w:t>
      </w:r>
      <w:r w:rsidRPr="006B0055">
        <w:rPr>
          <w:szCs w:val="24"/>
          <w:rtl/>
        </w:rPr>
        <w:t xml:space="preserve">. </w:t>
      </w:r>
      <w:r w:rsidRPr="006B0055">
        <w:rPr>
          <w:rFonts w:hint="eastAsia"/>
          <w:szCs w:val="24"/>
          <w:rtl/>
        </w:rPr>
        <w:t>ההשתתפות</w:t>
      </w:r>
      <w:r w:rsidRPr="006B0055">
        <w:rPr>
          <w:szCs w:val="24"/>
          <w:rtl/>
        </w:rPr>
        <w:t xml:space="preserve"> בכנס </w:t>
      </w:r>
      <w:r w:rsidRPr="006B0055">
        <w:rPr>
          <w:b/>
          <w:bCs/>
          <w:szCs w:val="24"/>
          <w:u w:val="single"/>
          <w:rtl/>
        </w:rPr>
        <w:t xml:space="preserve">אינה </w:t>
      </w:r>
      <w:r w:rsidRPr="006B0055">
        <w:rPr>
          <w:szCs w:val="24"/>
          <w:rtl/>
        </w:rPr>
        <w:t xml:space="preserve">חובה. </w:t>
      </w:r>
      <w:r w:rsidRPr="006B0055">
        <w:rPr>
          <w:rFonts w:hint="cs"/>
          <w:szCs w:val="24"/>
          <w:rtl/>
        </w:rPr>
        <w:t xml:space="preserve"> </w:t>
      </w:r>
    </w:p>
    <w:p w14:paraId="6B8C7649" w14:textId="77777777" w:rsidR="005A6970" w:rsidRPr="006B0055" w:rsidRDefault="005A6970" w:rsidP="005A6970">
      <w:pPr>
        <w:tabs>
          <w:tab w:val="left" w:pos="8312"/>
        </w:tabs>
        <w:jc w:val="both"/>
        <w:rPr>
          <w:szCs w:val="24"/>
          <w:rtl/>
        </w:rPr>
      </w:pPr>
      <w:r w:rsidRPr="006B0055">
        <w:rPr>
          <w:rFonts w:hint="cs"/>
          <w:b/>
          <w:bCs/>
          <w:szCs w:val="24"/>
          <w:u w:val="single"/>
          <w:rtl/>
        </w:rPr>
        <w:t>כללי</w:t>
      </w:r>
    </w:p>
    <w:p w14:paraId="06A2BB05" w14:textId="77777777" w:rsidR="005A6970" w:rsidRPr="006B0055" w:rsidRDefault="005A6970" w:rsidP="005A6970">
      <w:pPr>
        <w:spacing w:line="276" w:lineRule="auto"/>
        <w:jc w:val="both"/>
        <w:rPr>
          <w:szCs w:val="24"/>
          <w:rtl/>
        </w:rPr>
      </w:pPr>
      <w:r w:rsidRPr="006B0055">
        <w:rPr>
          <w:rFonts w:hint="eastAsia"/>
          <w:szCs w:val="24"/>
          <w:rtl/>
        </w:rPr>
        <w:t>התקופה</w:t>
      </w:r>
      <w:r w:rsidRPr="006B0055">
        <w:rPr>
          <w:szCs w:val="24"/>
          <w:rtl/>
        </w:rPr>
        <w:t xml:space="preserve"> </w:t>
      </w:r>
      <w:r w:rsidRPr="006B0055">
        <w:rPr>
          <w:rFonts w:hint="eastAsia"/>
          <w:szCs w:val="24"/>
          <w:rtl/>
        </w:rPr>
        <w:t>המאושרת</w:t>
      </w:r>
      <w:r w:rsidRPr="006B0055">
        <w:rPr>
          <w:szCs w:val="24"/>
          <w:rtl/>
        </w:rPr>
        <w:t xml:space="preserve"> </w:t>
      </w:r>
      <w:r w:rsidRPr="006B0055">
        <w:rPr>
          <w:rFonts w:hint="eastAsia"/>
          <w:szCs w:val="24"/>
          <w:rtl/>
        </w:rPr>
        <w:t>לביצוע</w:t>
      </w:r>
      <w:r w:rsidRPr="006B0055">
        <w:rPr>
          <w:szCs w:val="24"/>
          <w:rtl/>
        </w:rPr>
        <w:t xml:space="preserve"> </w:t>
      </w:r>
      <w:r w:rsidRPr="006B0055">
        <w:rPr>
          <w:rFonts w:hint="eastAsia"/>
          <w:szCs w:val="24"/>
          <w:rtl/>
        </w:rPr>
        <w:t>התוכנית</w:t>
      </w:r>
      <w:r w:rsidRPr="006B0055">
        <w:rPr>
          <w:rFonts w:hint="cs"/>
          <w:szCs w:val="24"/>
          <w:rtl/>
        </w:rPr>
        <w:t xml:space="preserve">, </w:t>
      </w:r>
      <w:r w:rsidRPr="006B0055">
        <w:rPr>
          <w:rFonts w:hint="eastAsia"/>
          <w:b/>
          <w:bCs/>
          <w:szCs w:val="24"/>
          <w:u w:val="single"/>
          <w:rtl/>
        </w:rPr>
        <w:t>לא</w:t>
      </w:r>
      <w:r w:rsidRPr="006B0055">
        <w:rPr>
          <w:b/>
          <w:bCs/>
          <w:szCs w:val="24"/>
          <w:u w:val="single"/>
          <w:rtl/>
        </w:rPr>
        <w:t xml:space="preserve"> </w:t>
      </w:r>
      <w:r w:rsidRPr="006B0055">
        <w:rPr>
          <w:rFonts w:hint="eastAsia"/>
          <w:b/>
          <w:bCs/>
          <w:szCs w:val="24"/>
          <w:u w:val="single"/>
          <w:rtl/>
        </w:rPr>
        <w:t>תעלה</w:t>
      </w:r>
      <w:r w:rsidRPr="006B0055">
        <w:rPr>
          <w:b/>
          <w:bCs/>
          <w:szCs w:val="24"/>
          <w:u w:val="single"/>
          <w:rtl/>
        </w:rPr>
        <w:t xml:space="preserve"> </w:t>
      </w:r>
      <w:r w:rsidRPr="006B0055">
        <w:rPr>
          <w:rFonts w:hint="eastAsia"/>
          <w:b/>
          <w:bCs/>
          <w:szCs w:val="24"/>
          <w:u w:val="single"/>
          <w:rtl/>
        </w:rPr>
        <w:t>על</w:t>
      </w:r>
      <w:r w:rsidRPr="006B0055">
        <w:rPr>
          <w:b/>
          <w:bCs/>
          <w:szCs w:val="24"/>
          <w:u w:val="single"/>
          <w:rtl/>
        </w:rPr>
        <w:t xml:space="preserve"> </w:t>
      </w:r>
      <w:r w:rsidRPr="006B0055">
        <w:rPr>
          <w:rFonts w:hint="eastAsia"/>
          <w:b/>
          <w:bCs/>
          <w:szCs w:val="24"/>
          <w:u w:val="single"/>
          <w:rtl/>
        </w:rPr>
        <w:t>שנתיים</w:t>
      </w:r>
      <w:r w:rsidRPr="006B0055">
        <w:rPr>
          <w:szCs w:val="24"/>
          <w:rtl/>
        </w:rPr>
        <w:t xml:space="preserve"> </w:t>
      </w:r>
      <w:r w:rsidRPr="006B0055">
        <w:rPr>
          <w:rFonts w:hint="eastAsia"/>
          <w:szCs w:val="24"/>
          <w:rtl/>
        </w:rPr>
        <w:t>מיום</w:t>
      </w:r>
      <w:r w:rsidRPr="006B0055">
        <w:rPr>
          <w:szCs w:val="24"/>
          <w:rtl/>
        </w:rPr>
        <w:t xml:space="preserve"> </w:t>
      </w:r>
      <w:r w:rsidRPr="006B0055">
        <w:rPr>
          <w:rFonts w:hint="eastAsia"/>
          <w:szCs w:val="24"/>
          <w:rtl/>
        </w:rPr>
        <w:t>חתימת</w:t>
      </w:r>
      <w:r w:rsidRPr="006B0055">
        <w:rPr>
          <w:szCs w:val="24"/>
          <w:rtl/>
        </w:rPr>
        <w:t xml:space="preserve"> </w:t>
      </w:r>
      <w:r w:rsidRPr="006B0055">
        <w:rPr>
          <w:rFonts w:hint="eastAsia"/>
          <w:szCs w:val="24"/>
          <w:rtl/>
        </w:rPr>
        <w:t>ההסכם</w:t>
      </w:r>
      <w:r w:rsidRPr="006B0055">
        <w:rPr>
          <w:szCs w:val="24"/>
          <w:rtl/>
        </w:rPr>
        <w:t>. מובהר</w:t>
      </w:r>
      <w:r w:rsidRPr="006B0055">
        <w:rPr>
          <w:rFonts w:hint="cs"/>
          <w:szCs w:val="24"/>
          <w:rtl/>
        </w:rPr>
        <w:t>,</w:t>
      </w:r>
      <w:r w:rsidRPr="006B0055">
        <w:rPr>
          <w:szCs w:val="24"/>
          <w:rtl/>
        </w:rPr>
        <w:t xml:space="preserve"> כי המשרד רשאי לאשר</w:t>
      </w:r>
      <w:r w:rsidRPr="006B0055">
        <w:rPr>
          <w:rFonts w:hint="cs"/>
          <w:szCs w:val="24"/>
          <w:rtl/>
        </w:rPr>
        <w:t xml:space="preserve"> או לא לאשר</w:t>
      </w:r>
      <w:r w:rsidRPr="006B0055">
        <w:rPr>
          <w:szCs w:val="24"/>
          <w:rtl/>
        </w:rPr>
        <w:t xml:space="preserve"> שינוי במפרט, </w:t>
      </w:r>
      <w:r w:rsidRPr="006B0055">
        <w:rPr>
          <w:rFonts w:hint="cs"/>
          <w:szCs w:val="24"/>
          <w:rtl/>
        </w:rPr>
        <w:t>על-פי</w:t>
      </w:r>
      <w:r w:rsidRPr="006B0055">
        <w:rPr>
          <w:szCs w:val="24"/>
          <w:rtl/>
        </w:rPr>
        <w:t xml:space="preserve"> שיקול דעתו הבלעדי</w:t>
      </w:r>
      <w:r w:rsidRPr="006B0055">
        <w:rPr>
          <w:rFonts w:hint="cs"/>
          <w:szCs w:val="24"/>
          <w:rtl/>
        </w:rPr>
        <w:t>. למשרד הזכות לדרוש שינויים בתוכנית, בתקציב ובמשך הזמן הדרוש לביצועה כתנאי לאישורה.</w:t>
      </w:r>
    </w:p>
    <w:p w14:paraId="2BED62E5" w14:textId="77777777" w:rsidR="005A6970" w:rsidRPr="006B0055" w:rsidRDefault="005A6970" w:rsidP="005A6970">
      <w:pPr>
        <w:jc w:val="both"/>
        <w:rPr>
          <w:szCs w:val="24"/>
          <w:u w:val="single"/>
        </w:rPr>
      </w:pPr>
    </w:p>
    <w:p w14:paraId="4CF7A7E2" w14:textId="77777777" w:rsidR="005A6970" w:rsidRPr="006B0055" w:rsidRDefault="005A6970" w:rsidP="005A6970">
      <w:pPr>
        <w:contextualSpacing/>
        <w:jc w:val="both"/>
        <w:rPr>
          <w:szCs w:val="24"/>
        </w:rPr>
      </w:pPr>
      <w:r w:rsidRPr="006B005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6B0055">
          <w:rPr>
            <w:rStyle w:val="Hyperlink"/>
            <w:color w:val="auto"/>
            <w:szCs w:val="24"/>
          </w:rPr>
          <w:t>www.energy.gov.il</w:t>
        </w:r>
      </w:hyperlink>
      <w:r w:rsidRPr="006B0055">
        <w:rPr>
          <w:szCs w:val="24"/>
        </w:rPr>
        <w:t xml:space="preserve"> </w:t>
      </w:r>
      <w:r w:rsidRPr="006B0055">
        <w:rPr>
          <w:rFonts w:hint="cs"/>
          <w:szCs w:val="24"/>
          <w:rtl/>
        </w:rPr>
        <w:t xml:space="preserve"> </w:t>
      </w:r>
    </w:p>
    <w:p w14:paraId="53F067E3" w14:textId="77777777" w:rsidR="005A6970" w:rsidRPr="006B0055" w:rsidRDefault="005A6970" w:rsidP="005A6970">
      <w:pPr>
        <w:pStyle w:val="ae"/>
        <w:ind w:left="360"/>
        <w:rPr>
          <w:szCs w:val="24"/>
          <w:rtl/>
        </w:rPr>
      </w:pPr>
    </w:p>
    <w:p w14:paraId="48CE40B0" w14:textId="7DED8ADE" w:rsidR="005A6970" w:rsidRPr="006B0055" w:rsidRDefault="005A6970" w:rsidP="006B0055">
      <w:pPr>
        <w:jc w:val="both"/>
        <w:rPr>
          <w:b/>
          <w:bCs/>
          <w:szCs w:val="24"/>
          <w:u w:val="single"/>
          <w:rtl/>
        </w:rPr>
      </w:pPr>
      <w:r w:rsidRPr="006B0055">
        <w:rPr>
          <w:rFonts w:hint="cs"/>
          <w:szCs w:val="24"/>
          <w:rtl/>
        </w:rPr>
        <w:t xml:space="preserve">את מעטפת המכרז יש להכניס לתיבת המכרזים, הנמצאת במשרד האנרגיה והמים, רח' יפו 216, ירושלים, בקומה 7 (במסדרון ליד </w:t>
      </w:r>
      <w:r w:rsidR="006B0055" w:rsidRPr="006B0055">
        <w:rPr>
          <w:rFonts w:hint="cs"/>
          <w:szCs w:val="24"/>
          <w:rtl/>
        </w:rPr>
        <w:t>המאבטח</w:t>
      </w:r>
      <w:r w:rsidRPr="006B0055">
        <w:rPr>
          <w:rFonts w:hint="cs"/>
          <w:szCs w:val="24"/>
          <w:rtl/>
        </w:rPr>
        <w:t xml:space="preserve">) לא יאוחר מיום  </w:t>
      </w:r>
      <w:r w:rsidR="006B0055" w:rsidRPr="006B0055">
        <w:rPr>
          <w:rFonts w:hint="cs"/>
          <w:b/>
          <w:bCs/>
          <w:szCs w:val="24"/>
          <w:u w:val="single"/>
          <w:rtl/>
        </w:rPr>
        <w:t>25.6.15</w:t>
      </w:r>
      <w:r w:rsidRPr="006B0055">
        <w:rPr>
          <w:rFonts w:hint="cs"/>
          <w:b/>
          <w:bCs/>
          <w:szCs w:val="24"/>
          <w:u w:val="single"/>
          <w:rtl/>
        </w:rPr>
        <w:t xml:space="preserve"> בשעה 14:00</w:t>
      </w:r>
    </w:p>
    <w:p w14:paraId="2B9475E2" w14:textId="77777777" w:rsidR="005A6970" w:rsidRPr="006B0055" w:rsidRDefault="005A6970" w:rsidP="005A6970">
      <w:pPr>
        <w:ind w:left="-1"/>
        <w:jc w:val="both"/>
        <w:rPr>
          <w:szCs w:val="24"/>
          <w:rtl/>
        </w:rPr>
      </w:pPr>
      <w:r w:rsidRPr="006B0055">
        <w:rPr>
          <w:rFonts w:hint="cs"/>
          <w:szCs w:val="24"/>
          <w:rtl/>
        </w:rPr>
        <w:t>אם המציע מחליט לשלוח את המעטפה באמצעות שליח (לרבות חברת דואר ישראל), עליו להכניסה לתוך מעטפה שניי</w:t>
      </w:r>
      <w:r w:rsidRPr="006B0055">
        <w:rPr>
          <w:rFonts w:hint="eastAsia"/>
          <w:szCs w:val="24"/>
          <w:rtl/>
        </w:rPr>
        <w:t>ה</w:t>
      </w:r>
      <w:r w:rsidRPr="006B0055">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97B1FB0" w14:textId="77777777" w:rsidR="005A6970" w:rsidRPr="006B0055" w:rsidRDefault="005A6970" w:rsidP="005A6970">
      <w:pPr>
        <w:jc w:val="both"/>
        <w:rPr>
          <w:szCs w:val="24"/>
        </w:rPr>
      </w:pPr>
    </w:p>
    <w:p w14:paraId="037B92CF" w14:textId="77777777" w:rsidR="005A6970" w:rsidRPr="006B0055" w:rsidRDefault="005A6970" w:rsidP="005A6970">
      <w:pPr>
        <w:jc w:val="both"/>
        <w:rPr>
          <w:szCs w:val="24"/>
        </w:rPr>
      </w:pPr>
      <w:r w:rsidRPr="006B0055">
        <w:rPr>
          <w:rFonts w:hint="cs"/>
          <w:b/>
          <w:bCs/>
          <w:szCs w:val="24"/>
          <w:rtl/>
        </w:rPr>
        <w:t>בכל מקרה של סתירה בין האמור בהודעה זו לאמור במסמכי המכרז יגבר האמור במסמכי המכרז.</w:t>
      </w:r>
    </w:p>
    <w:p w14:paraId="36BBCA05" w14:textId="77777777" w:rsidR="005A6970" w:rsidRPr="006B0055" w:rsidRDefault="005A6970" w:rsidP="005A6970">
      <w:pPr>
        <w:jc w:val="both"/>
        <w:rPr>
          <w:szCs w:val="24"/>
        </w:rPr>
      </w:pPr>
    </w:p>
    <w:p w14:paraId="5D41EBD8" w14:textId="77777777" w:rsidR="005A6970" w:rsidRPr="006B0055" w:rsidRDefault="005A6970" w:rsidP="005A6970">
      <w:pPr>
        <w:jc w:val="both"/>
        <w:rPr>
          <w:szCs w:val="24"/>
          <w:rtl/>
        </w:rPr>
      </w:pPr>
      <w:r w:rsidRPr="006B0055">
        <w:rPr>
          <w:rFonts w:hint="cs"/>
          <w:b/>
          <w:bCs/>
          <w:szCs w:val="24"/>
          <w:u w:val="single"/>
          <w:rtl/>
        </w:rPr>
        <w:t>שאלות והבהרות</w:t>
      </w:r>
    </w:p>
    <w:p w14:paraId="4501A8FE" w14:textId="6E385DD4" w:rsidR="005A6970" w:rsidRPr="006B0055" w:rsidRDefault="005A6970" w:rsidP="006B0055">
      <w:pPr>
        <w:tabs>
          <w:tab w:val="left" w:pos="8617"/>
        </w:tabs>
        <w:ind w:left="-1"/>
        <w:jc w:val="both"/>
        <w:rPr>
          <w:szCs w:val="24"/>
          <w:rtl/>
        </w:rPr>
      </w:pPr>
      <w:r w:rsidRPr="006B0055">
        <w:rPr>
          <w:rFonts w:hint="cs"/>
          <w:szCs w:val="24"/>
          <w:rtl/>
        </w:rPr>
        <w:t xml:space="preserve">המועד האחרון להפניה של שאלות והבהרות הינו </w:t>
      </w:r>
      <w:r w:rsidR="006B0055" w:rsidRPr="006B0055">
        <w:rPr>
          <w:rFonts w:hint="cs"/>
          <w:b/>
          <w:bCs/>
          <w:szCs w:val="24"/>
          <w:u w:val="single"/>
          <w:rtl/>
        </w:rPr>
        <w:t>28.5.15</w:t>
      </w:r>
      <w:r w:rsidRPr="006B0055">
        <w:rPr>
          <w:rFonts w:hint="cs"/>
          <w:b/>
          <w:bCs/>
          <w:szCs w:val="24"/>
          <w:u w:val="single"/>
          <w:rtl/>
        </w:rPr>
        <w:t xml:space="preserve"> שעה 14:00</w:t>
      </w:r>
      <w:r w:rsidRPr="006B0055">
        <w:rPr>
          <w:rFonts w:hint="cs"/>
          <w:szCs w:val="24"/>
          <w:rtl/>
        </w:rPr>
        <w:t xml:space="preserve"> לגב' אילנה טמסוט בדואר אלקטרוני שכתובתו:</w:t>
      </w:r>
      <w:hyperlink r:id="rId13" w:history="1">
        <w:r w:rsidRPr="006B0055">
          <w:rPr>
            <w:rStyle w:val="Hyperlink"/>
            <w:color w:val="auto"/>
            <w:szCs w:val="24"/>
          </w:rPr>
          <w:t>itamsut@energy.gov.il</w:t>
        </w:r>
      </w:hyperlink>
      <w:r w:rsidRPr="006B0055">
        <w:rPr>
          <w:szCs w:val="24"/>
        </w:rPr>
        <w:t xml:space="preserve"> </w:t>
      </w:r>
      <w:r w:rsidRPr="006B0055">
        <w:rPr>
          <w:rFonts w:hint="cs"/>
          <w:szCs w:val="24"/>
          <w:rtl/>
        </w:rPr>
        <w:t xml:space="preserve">, מסמך </w:t>
      </w:r>
      <w:r w:rsidRPr="006B0055">
        <w:rPr>
          <w:rFonts w:hint="cs"/>
          <w:szCs w:val="24"/>
        </w:rPr>
        <w:t>WOED</w:t>
      </w:r>
      <w:r w:rsidRPr="006B0055">
        <w:rPr>
          <w:rFonts w:hint="cs"/>
          <w:szCs w:val="24"/>
          <w:rtl/>
        </w:rPr>
        <w:t xml:space="preserve"> בלבד, המשרד לא ישיב שאלות שיגיעו לאחר מועד אחרון זה.</w:t>
      </w:r>
    </w:p>
    <w:p w14:paraId="6BBCE4D9" w14:textId="6F46BAEA" w:rsidR="005A6970" w:rsidRPr="006B0055" w:rsidRDefault="005A6970" w:rsidP="006B0055">
      <w:pPr>
        <w:tabs>
          <w:tab w:val="left" w:pos="9355"/>
        </w:tabs>
        <w:ind w:left="-1"/>
        <w:jc w:val="both"/>
        <w:rPr>
          <w:szCs w:val="24"/>
          <w:rtl/>
        </w:rPr>
      </w:pPr>
      <w:r w:rsidRPr="006B0055">
        <w:rPr>
          <w:rFonts w:hint="cs"/>
          <w:szCs w:val="24"/>
          <w:rtl/>
        </w:rPr>
        <w:t xml:space="preserve">ריכוז השאלות והתשובות יפורסמו באתר הרכש הממשלתי ובאתר האינטרנט של המשרד החל מיום </w:t>
      </w:r>
      <w:r w:rsidR="006B0055" w:rsidRPr="006B0055">
        <w:rPr>
          <w:rFonts w:hint="cs"/>
          <w:b/>
          <w:bCs/>
          <w:szCs w:val="24"/>
          <w:u w:val="single"/>
          <w:rtl/>
        </w:rPr>
        <w:t>11.6.15</w:t>
      </w:r>
      <w:r w:rsidRPr="006B0055">
        <w:rPr>
          <w:rFonts w:hint="cs"/>
          <w:szCs w:val="24"/>
          <w:rtl/>
        </w:rPr>
        <w:t xml:space="preserve"> והן יהוו חלק בלתי נפרד ממסמכי המכרז ויחייבו את כל המציעים.</w:t>
      </w:r>
    </w:p>
    <w:p w14:paraId="1E3B80DA" w14:textId="6BAFBE70" w:rsidR="005A6970" w:rsidRDefault="005A6970" w:rsidP="00186BC5">
      <w:pPr>
        <w:tabs>
          <w:tab w:val="left" w:pos="9355"/>
        </w:tabs>
        <w:jc w:val="both"/>
        <w:rPr>
          <w:b/>
          <w:bCs/>
          <w:szCs w:val="24"/>
        </w:rPr>
      </w:pPr>
      <w:r w:rsidRPr="006B0055">
        <w:rPr>
          <w:rFonts w:hint="cs"/>
          <w:szCs w:val="24"/>
          <w:rtl/>
        </w:rPr>
        <w:t>המשרד שומר לעצמו את הזכות להימנע מלהשיב לגופה של השגה אם ימצא כי מתן מענה להשגה עלול לסכל או לפגוע בהליך המכרז או בתכליתו.</w:t>
      </w:r>
    </w:p>
    <w:sectPr w:rsidR="005A6970" w:rsidSect="00186BC5">
      <w:headerReference w:type="even" r:id="rId14"/>
      <w:headerReference w:type="default" r:id="rId15"/>
      <w:footerReference w:type="default" r:id="rId16"/>
      <w:headerReference w:type="first" r:id="rId17"/>
      <w:footerReference w:type="first" r:id="rId18"/>
      <w:pgSz w:w="11906" w:h="16838"/>
      <w:pgMar w:top="1440" w:right="849" w:bottom="1440" w:left="851"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217239813"/>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1631510512"/>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1447199543"/>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7918386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4648156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4812647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375702914"/>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86BC5" w:rsidRPr="00186BC5">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9">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4"/>
  </w:num>
  <w:num w:numId="3">
    <w:abstractNumId w:val="8"/>
  </w:num>
  <w:num w:numId="4">
    <w:abstractNumId w:val="21"/>
  </w:num>
  <w:num w:numId="5">
    <w:abstractNumId w:val="11"/>
  </w:num>
  <w:num w:numId="6">
    <w:abstractNumId w:val="4"/>
  </w:num>
  <w:num w:numId="7">
    <w:abstractNumId w:val="10"/>
  </w:num>
  <w:num w:numId="8">
    <w:abstractNumId w:val="12"/>
  </w:num>
  <w:num w:numId="9">
    <w:abstractNumId w:val="28"/>
  </w:num>
  <w:num w:numId="10">
    <w:abstractNumId w:val="17"/>
  </w:num>
  <w:num w:numId="11">
    <w:abstractNumId w:val="1"/>
  </w:num>
  <w:num w:numId="12">
    <w:abstractNumId w:val="16"/>
  </w:num>
  <w:num w:numId="13">
    <w:abstractNumId w:val="26"/>
  </w:num>
  <w:num w:numId="14">
    <w:abstractNumId w:val="13"/>
  </w:num>
  <w:num w:numId="15">
    <w:abstractNumId w:val="5"/>
  </w:num>
  <w:num w:numId="16">
    <w:abstractNumId w:val="6"/>
  </w:num>
  <w:num w:numId="17">
    <w:abstractNumId w:val="19"/>
  </w:num>
  <w:num w:numId="18">
    <w:abstractNumId w:val="14"/>
  </w:num>
  <w:num w:numId="19">
    <w:abstractNumId w:val="30"/>
  </w:num>
  <w:num w:numId="20">
    <w:abstractNumId w:val="15"/>
  </w:num>
  <w:num w:numId="21">
    <w:abstractNumId w:val="3"/>
  </w:num>
  <w:num w:numId="22">
    <w:abstractNumId w:val="9"/>
  </w:num>
  <w:num w:numId="23">
    <w:abstractNumId w:val="18"/>
  </w:num>
  <w:num w:numId="24">
    <w:abstractNumId w:val="25"/>
  </w:num>
  <w:num w:numId="25">
    <w:abstractNumId w:val="23"/>
  </w:num>
  <w:num w:numId="26">
    <w:abstractNumId w:val="0"/>
  </w:num>
  <w:num w:numId="27">
    <w:abstractNumId w:val="20"/>
  </w:num>
  <w:num w:numId="28">
    <w:abstractNumId w:val="22"/>
  </w:num>
  <w:num w:numId="29">
    <w:abstractNumId w:val="27"/>
  </w:num>
  <w:num w:numId="30">
    <w:abstractNumId w:val="2"/>
  </w:num>
  <w:num w:numId="3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7360"/>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6BC5"/>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40E66"/>
    <w:rsid w:val="003503FF"/>
    <w:rsid w:val="0035611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0055"/>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F712F"/>
    <w:rsid w:val="00C0686B"/>
    <w:rsid w:val="00C15681"/>
    <w:rsid w:val="00C335C4"/>
    <w:rsid w:val="00C33B51"/>
    <w:rsid w:val="00C5046C"/>
    <w:rsid w:val="00C516A1"/>
    <w:rsid w:val="00C668B6"/>
    <w:rsid w:val="00C80AD2"/>
    <w:rsid w:val="00C80CDB"/>
    <w:rsid w:val="00C855B6"/>
    <w:rsid w:val="00C91F7F"/>
    <w:rsid w:val="00CA2BA0"/>
    <w:rsid w:val="00CB33E5"/>
    <w:rsid w:val="00D02EDC"/>
    <w:rsid w:val="00D2513A"/>
    <w:rsid w:val="00D35E0D"/>
    <w:rsid w:val="00D3749A"/>
    <w:rsid w:val="00D37641"/>
    <w:rsid w:val="00D60F68"/>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14:docId w14:val="1C009FBB"/>
  <w15:docId w15:val="{467624FD-8014-4713-BF33-CCC10006F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 w:type="paragraph" w:customStyle="1" w:styleId="af9">
    <w:name w:val="דף ראשון"/>
    <w:basedOn w:val="a2"/>
    <w:link w:val="Char"/>
    <w:qFormat/>
    <w:rsid w:val="00037360"/>
    <w:pPr>
      <w:spacing w:after="120" w:line="360" w:lineRule="auto"/>
      <w:ind w:firstLine="27"/>
      <w:jc w:val="center"/>
    </w:pPr>
    <w:rPr>
      <w:rFonts w:ascii="Arial" w:hAnsi="Arial"/>
      <w:noProof/>
      <w:sz w:val="28"/>
      <w:szCs w:val="28"/>
    </w:rPr>
  </w:style>
  <w:style w:type="character" w:customStyle="1" w:styleId="Char">
    <w:name w:val="דף ראשון Char"/>
    <w:basedOn w:val="a3"/>
    <w:link w:val="af9"/>
    <w:rsid w:val="00037360"/>
    <w:rPr>
      <w:rFonts w:ascii="Arial" w:hAnsi="Arial" w:cs="David"/>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חת_193_2015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באפריל 2015</DocumentCreateDateEnglish>
    <DocumentCreateDateHebrew xmlns="8f5b83e0-a1d3-486c-bd07-833a425c74af">ז' באייר התשע"ה</DocumentCreateDateHebrew>
    <SubjectDocument xmlns="8f5b83e0-a1d3-486c-bd07-833a425c74af">פרסום מכרז  2/15 להגשת הצעות להשקעת הקרן במופ,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26/04/2015 02:39;47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193</CounterString>
    <LastLockUser xmlns="8f5b83e0-a1d3-486c-bd07-833a425c74af" xsi:nil="true"/>
    <LastCheckOutDate xmlns="8f5b83e0-a1d3-486c-bd07-833a425c74af">26/04/2015 02:39;48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HT_193_2015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2015-04-26T00:00:00+00:00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8f5b83e0-a1d3-486c-bd07-833a425c74af"/>
    <ds:schemaRef ds:uri="http://purl.org/dc/terms/"/>
    <ds:schemaRef ds:uri="87b98568-e8c7-4058-bf31-e11803adaf85"/>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9D13B4D-5440-41D0-9A5E-E2B91A4A7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492</Words>
  <Characters>2462</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2015-04-28T07:16:00Z</dcterms:created>
  <dcterms:modified xsi:type="dcterms:W3CDTF">2015-04-28T07:16:00Z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